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9B" w:rsidRPr="00787BF1" w:rsidRDefault="0045549B" w:rsidP="0045549B">
      <w:pPr>
        <w:pStyle w:val="Heading2"/>
      </w:pPr>
      <w:bookmarkStart w:id="0" w:name="_Toc155342867"/>
      <w:bookmarkStart w:id="1" w:name="_GoBack"/>
      <w:r w:rsidRPr="00787BF1">
        <w:rPr>
          <w:b/>
          <w:sz w:val="24"/>
        </w:rPr>
        <w:t>189. LUẬT MÔI TRƯỜNG QUỐC TẾ</w:t>
      </w:r>
      <w:r w:rsidRPr="00787BF1">
        <w:rPr>
          <w:rStyle w:val="Heading2Char"/>
        </w:rPr>
        <w:t xml:space="preserve"> </w:t>
      </w:r>
      <w:bookmarkEnd w:id="1"/>
      <w:r w:rsidRPr="00E02653">
        <w:rPr>
          <w:rStyle w:val="Heading2Char"/>
          <w:i/>
        </w:rPr>
        <w:t xml:space="preserve">(cg. </w:t>
      </w:r>
      <w:proofErr w:type="spellStart"/>
      <w:r w:rsidRPr="00E02653">
        <w:rPr>
          <w:rStyle w:val="Heading2Char"/>
          <w:i/>
        </w:rPr>
        <w:t>Luật</w:t>
      </w:r>
      <w:proofErr w:type="spellEnd"/>
      <w:r w:rsidRPr="00E02653">
        <w:rPr>
          <w:rStyle w:val="Heading2Char"/>
          <w:i/>
        </w:rPr>
        <w:t xml:space="preserve"> </w:t>
      </w:r>
      <w:proofErr w:type="spellStart"/>
      <w:r w:rsidRPr="00E02653">
        <w:rPr>
          <w:rStyle w:val="Heading2Char"/>
          <w:i/>
        </w:rPr>
        <w:t>quốc</w:t>
      </w:r>
      <w:proofErr w:type="spellEnd"/>
      <w:r w:rsidRPr="00E02653">
        <w:rPr>
          <w:rStyle w:val="Heading2Char"/>
          <w:i/>
        </w:rPr>
        <w:t xml:space="preserve"> </w:t>
      </w:r>
      <w:proofErr w:type="spellStart"/>
      <w:r w:rsidRPr="00E02653">
        <w:rPr>
          <w:rStyle w:val="Heading2Char"/>
          <w:i/>
        </w:rPr>
        <w:t>tế</w:t>
      </w:r>
      <w:proofErr w:type="spellEnd"/>
      <w:r w:rsidRPr="00E02653">
        <w:rPr>
          <w:rStyle w:val="Heading2Char"/>
          <w:i/>
        </w:rPr>
        <w:t xml:space="preserve"> </w:t>
      </w:r>
      <w:proofErr w:type="spellStart"/>
      <w:r w:rsidRPr="00E02653">
        <w:rPr>
          <w:rStyle w:val="Heading2Char"/>
          <w:i/>
        </w:rPr>
        <w:t>về</w:t>
      </w:r>
      <w:proofErr w:type="spellEnd"/>
      <w:r w:rsidRPr="00E02653">
        <w:rPr>
          <w:rStyle w:val="Heading2Char"/>
          <w:i/>
        </w:rPr>
        <w:t xml:space="preserve"> </w:t>
      </w:r>
      <w:proofErr w:type="spellStart"/>
      <w:r w:rsidRPr="00E02653">
        <w:rPr>
          <w:rStyle w:val="Heading2Char"/>
          <w:i/>
        </w:rPr>
        <w:t>môi</w:t>
      </w:r>
      <w:proofErr w:type="spellEnd"/>
      <w:r w:rsidRPr="00E02653">
        <w:rPr>
          <w:rStyle w:val="Heading2Char"/>
          <w:i/>
        </w:rPr>
        <w:t xml:space="preserve"> </w:t>
      </w:r>
      <w:proofErr w:type="spellStart"/>
      <w:r w:rsidRPr="00E02653">
        <w:rPr>
          <w:rStyle w:val="Heading2Char"/>
          <w:i/>
        </w:rPr>
        <w:t>trường</w:t>
      </w:r>
      <w:proofErr w:type="spellEnd"/>
      <w:r w:rsidRPr="00E02653">
        <w:rPr>
          <w:rStyle w:val="Heading2Char"/>
          <w:i/>
        </w:rPr>
        <w:t>)</w:t>
      </w:r>
      <w:r w:rsidRPr="00787BF1">
        <w:t>,</w:t>
      </w:r>
      <w:r w:rsidRPr="00787BF1">
        <w:rPr>
          <w:i/>
        </w:rPr>
        <w:t xml:space="preserve"> </w:t>
      </w:r>
      <w:proofErr w:type="spellStart"/>
      <w:r w:rsidRPr="00787BF1">
        <w:t>một</w:t>
      </w:r>
      <w:proofErr w:type="spellEnd"/>
      <w:r w:rsidRPr="00787BF1">
        <w:t xml:space="preserve"> </w:t>
      </w:r>
      <w:proofErr w:type="spellStart"/>
      <w:r w:rsidRPr="00787BF1">
        <w:t>lĩnh</w:t>
      </w:r>
      <w:proofErr w:type="spellEnd"/>
      <w:r w:rsidRPr="00787BF1">
        <w:t xml:space="preserve"> </w:t>
      </w:r>
      <w:proofErr w:type="spellStart"/>
      <w:r w:rsidRPr="00787BF1">
        <w:t>vực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, </w:t>
      </w:r>
      <w:proofErr w:type="spellStart"/>
      <w:r w:rsidRPr="00787BF1">
        <w:t>bao</w:t>
      </w:r>
      <w:proofErr w:type="spellEnd"/>
      <w:r w:rsidRPr="00787BF1">
        <w:t xml:space="preserve"> </w:t>
      </w:r>
      <w:proofErr w:type="spellStart"/>
      <w:r w:rsidRPr="00787BF1">
        <w:t>gồm</w:t>
      </w:r>
      <w:proofErr w:type="spellEnd"/>
      <w:r w:rsidRPr="00787BF1">
        <w:t xml:space="preserve"> </w:t>
      </w:r>
      <w:proofErr w:type="spellStart"/>
      <w:r w:rsidRPr="00787BF1">
        <w:t>tổng</w:t>
      </w:r>
      <w:proofErr w:type="spellEnd"/>
      <w:r w:rsidRPr="00787BF1">
        <w:t xml:space="preserve"> </w:t>
      </w:r>
      <w:proofErr w:type="spellStart"/>
      <w:r w:rsidRPr="00787BF1">
        <w:t>thể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nguyên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,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phạm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được</w:t>
      </w:r>
      <w:proofErr w:type="spellEnd"/>
      <w:r w:rsidRPr="00787BF1">
        <w:t xml:space="preserve"> </w:t>
      </w:r>
      <w:proofErr w:type="spellStart"/>
      <w:r w:rsidRPr="00787BF1">
        <w:t>xây</w:t>
      </w:r>
      <w:proofErr w:type="spellEnd"/>
      <w:r w:rsidRPr="00787BF1">
        <w:t xml:space="preserve"> </w:t>
      </w:r>
      <w:proofErr w:type="spellStart"/>
      <w:r w:rsidRPr="00787BF1">
        <w:t>dựng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thừa</w:t>
      </w:r>
      <w:proofErr w:type="spellEnd"/>
      <w:r w:rsidRPr="00787BF1">
        <w:t xml:space="preserve"> </w:t>
      </w:r>
      <w:proofErr w:type="spellStart"/>
      <w:r w:rsidRPr="00787BF1">
        <w:t>nhận</w:t>
      </w:r>
      <w:proofErr w:type="spellEnd"/>
      <w:r w:rsidRPr="00787BF1">
        <w:t xml:space="preserve"> </w:t>
      </w:r>
      <w:proofErr w:type="spellStart"/>
      <w:r w:rsidRPr="00787BF1">
        <w:t>bởi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gia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chủ</w:t>
      </w:r>
      <w:proofErr w:type="spellEnd"/>
      <w:r w:rsidRPr="00787BF1">
        <w:t xml:space="preserve"> </w:t>
      </w:r>
      <w:proofErr w:type="spellStart"/>
      <w:r w:rsidRPr="00787BF1">
        <w:t>thể</w:t>
      </w:r>
      <w:proofErr w:type="spellEnd"/>
      <w:r w:rsidRPr="00787BF1">
        <w:t xml:space="preserve"> </w:t>
      </w:r>
      <w:proofErr w:type="spellStart"/>
      <w:r w:rsidRPr="00787BF1">
        <w:t>khác</w:t>
      </w:r>
      <w:proofErr w:type="spellEnd"/>
      <w:r w:rsidRPr="00787BF1">
        <w:t xml:space="preserve"> </w:t>
      </w:r>
      <w:proofErr w:type="spellStart"/>
      <w:r w:rsidRPr="00787BF1">
        <w:t>nhằm</w:t>
      </w:r>
      <w:proofErr w:type="spellEnd"/>
      <w:r w:rsidRPr="00787BF1">
        <w:t xml:space="preserve"> </w:t>
      </w:r>
      <w:proofErr w:type="spellStart"/>
      <w:r w:rsidRPr="00787BF1">
        <w:t>điều</w:t>
      </w:r>
      <w:proofErr w:type="spellEnd"/>
      <w:r w:rsidRPr="00787BF1">
        <w:t xml:space="preserve"> </w:t>
      </w:r>
      <w:proofErr w:type="spellStart"/>
      <w:r w:rsidRPr="00787BF1">
        <w:t>chỉnh</w:t>
      </w:r>
      <w:proofErr w:type="spellEnd"/>
      <w:r w:rsidRPr="00787BF1">
        <w:t xml:space="preserve"> </w:t>
      </w:r>
      <w:proofErr w:type="spellStart"/>
      <w:r w:rsidRPr="00787BF1">
        <w:t>những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phát</w:t>
      </w:r>
      <w:proofErr w:type="spellEnd"/>
      <w:r w:rsidRPr="00787BF1">
        <w:t xml:space="preserve"> </w:t>
      </w:r>
      <w:proofErr w:type="spellStart"/>
      <w:r w:rsidRPr="00787BF1">
        <w:t>sinh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hoạt</w:t>
      </w:r>
      <w:proofErr w:type="spellEnd"/>
      <w:r w:rsidRPr="00787BF1">
        <w:t xml:space="preserve"> </w:t>
      </w:r>
      <w:proofErr w:type="spellStart"/>
      <w:r w:rsidRPr="00787BF1">
        <w:t>động</w:t>
      </w:r>
      <w:proofErr w:type="spellEnd"/>
      <w:r w:rsidRPr="00787BF1">
        <w:t xml:space="preserve"> </w:t>
      </w:r>
      <w:proofErr w:type="spellStart"/>
      <w:r w:rsidRPr="00787BF1">
        <w:t>bảo</w:t>
      </w:r>
      <w:proofErr w:type="spellEnd"/>
      <w:r w:rsidRPr="00787BF1">
        <w:t xml:space="preserve"> </w:t>
      </w:r>
      <w:proofErr w:type="spellStart"/>
      <w:r w:rsidRPr="00787BF1">
        <w:t>vệ</w:t>
      </w:r>
      <w:proofErr w:type="spellEnd"/>
      <w:r w:rsidRPr="00787BF1">
        <w:t xml:space="preserve"> </w:t>
      </w:r>
      <w:proofErr w:type="spellStart"/>
      <w:r w:rsidRPr="00787BF1">
        <w:t>môi</w:t>
      </w:r>
      <w:proofErr w:type="spellEnd"/>
      <w:r w:rsidRPr="00787BF1">
        <w:t xml:space="preserve"> </w:t>
      </w:r>
      <w:proofErr w:type="spellStart"/>
      <w:r w:rsidRPr="00787BF1">
        <w:t>trường</w:t>
      </w:r>
      <w:proofErr w:type="spellEnd"/>
      <w:r w:rsidRPr="00787BF1">
        <w:t xml:space="preserve">, </w:t>
      </w:r>
      <w:proofErr w:type="spellStart"/>
      <w:r w:rsidRPr="00787BF1">
        <w:t>phát</w:t>
      </w:r>
      <w:proofErr w:type="spellEnd"/>
      <w:r w:rsidRPr="00787BF1">
        <w:t xml:space="preserve"> </w:t>
      </w:r>
      <w:proofErr w:type="spellStart"/>
      <w:r w:rsidRPr="00787BF1">
        <w:t>triển</w:t>
      </w:r>
      <w:proofErr w:type="spellEnd"/>
      <w:r w:rsidRPr="00787BF1">
        <w:t xml:space="preserve"> </w:t>
      </w:r>
      <w:proofErr w:type="spellStart"/>
      <w:r w:rsidRPr="00787BF1">
        <w:t>bền</w:t>
      </w:r>
      <w:proofErr w:type="spellEnd"/>
      <w:r w:rsidRPr="00787BF1">
        <w:t xml:space="preserve"> </w:t>
      </w:r>
      <w:proofErr w:type="spellStart"/>
      <w:r w:rsidRPr="00787BF1">
        <w:t>vững</w:t>
      </w:r>
      <w:proofErr w:type="spellEnd"/>
      <w:r w:rsidRPr="00787BF1">
        <w:t xml:space="preserve"> </w:t>
      </w:r>
      <w:proofErr w:type="spellStart"/>
      <w:r w:rsidRPr="00787BF1">
        <w:t>vì</w:t>
      </w:r>
      <w:proofErr w:type="spellEnd"/>
      <w:r w:rsidRPr="00787BF1">
        <w:t xml:space="preserve"> </w:t>
      </w:r>
      <w:proofErr w:type="spellStart"/>
      <w:r w:rsidRPr="00787BF1">
        <w:t>lợi</w:t>
      </w:r>
      <w:proofErr w:type="spellEnd"/>
      <w:r w:rsidRPr="00787BF1">
        <w:t xml:space="preserve"> </w:t>
      </w:r>
      <w:proofErr w:type="spellStart"/>
      <w:r w:rsidRPr="00787BF1">
        <w:t>ích</w:t>
      </w:r>
      <w:proofErr w:type="spellEnd"/>
      <w:r w:rsidRPr="00787BF1">
        <w:t xml:space="preserve"> </w:t>
      </w:r>
      <w:proofErr w:type="spellStart"/>
      <w:r w:rsidRPr="00787BF1">
        <w:t>chung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nhân</w:t>
      </w:r>
      <w:proofErr w:type="spellEnd"/>
      <w:r w:rsidRPr="00787BF1">
        <w:t xml:space="preserve"> </w:t>
      </w:r>
      <w:proofErr w:type="spellStart"/>
      <w:r w:rsidRPr="00787BF1">
        <w:t>loại</w:t>
      </w:r>
      <w:proofErr w:type="spellEnd"/>
      <w:r w:rsidRPr="00787BF1">
        <w:t>.</w:t>
      </w:r>
      <w:bookmarkEnd w:id="0"/>
    </w:p>
    <w:p w:rsidR="0045549B" w:rsidRPr="00787BF1" w:rsidRDefault="0045549B" w:rsidP="0045549B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cuối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kỷ</w:t>
      </w:r>
      <w:proofErr w:type="spellEnd"/>
      <w:r w:rsidRPr="00787BF1">
        <w:rPr>
          <w:szCs w:val="28"/>
        </w:rPr>
        <w:t xml:space="preserve"> XIX,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kỷ</w:t>
      </w:r>
      <w:proofErr w:type="spellEnd"/>
      <w:r w:rsidRPr="00787BF1">
        <w:rPr>
          <w:szCs w:val="28"/>
        </w:rPr>
        <w:t xml:space="preserve"> XX, LMTQT </w:t>
      </w:r>
      <w:proofErr w:type="spellStart"/>
      <w:r w:rsidRPr="00787BF1">
        <w:rPr>
          <w:szCs w:val="28"/>
        </w:rPr>
        <w:t>mới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nay, LMTQT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khí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hậu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, LMTQT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nay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>. </w:t>
      </w:r>
    </w:p>
    <w:p w:rsidR="0045549B" w:rsidRPr="00787BF1" w:rsidRDefault="0045549B" w:rsidP="0045549B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LMTQT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</w:t>
      </w:r>
      <w:proofErr w:type="spellEnd"/>
      <w:r w:rsidRPr="00787BF1">
        <w:rPr>
          <w:szCs w:val="28"/>
        </w:rPr>
        <w:t xml:space="preserve"> Montreal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1987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Ôzôn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1985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Ôzôn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Paris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2015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hậu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Ramsar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1971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CITES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1973 </w:t>
      </w:r>
      <w:proofErr w:type="spellStart"/>
      <w:r w:rsidRPr="00787BF1">
        <w:rPr>
          <w:szCs w:val="28"/>
        </w:rPr>
        <w:t>buôn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1992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1982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1992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1972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Di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2017. </w:t>
      </w:r>
    </w:p>
    <w:p w:rsidR="0045549B" w:rsidRPr="00787BF1" w:rsidRDefault="0045549B" w:rsidP="0045549B">
      <w:pPr>
        <w:widowControl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LMTQT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khuyến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bởi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‘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mềm</w:t>
      </w:r>
      <w:proofErr w:type="spellEnd"/>
      <w:r w:rsidRPr="00787BF1">
        <w:rPr>
          <w:szCs w:val="28"/>
        </w:rPr>
        <w:t xml:space="preserve">’. </w:t>
      </w:r>
      <w:proofErr w:type="spellStart"/>
      <w:r w:rsidRPr="00787BF1">
        <w:rPr>
          <w:szCs w:val="28"/>
        </w:rPr>
        <w:t>Chúng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cam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Rio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1992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vững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Washington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1995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1995;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2030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vững</w:t>
      </w:r>
      <w:proofErr w:type="spellEnd"/>
      <w:r w:rsidRPr="00787BF1">
        <w:rPr>
          <w:szCs w:val="28"/>
        </w:rPr>
        <w:t>.</w:t>
      </w:r>
    </w:p>
    <w:p w:rsidR="0045549B" w:rsidRPr="00787BF1" w:rsidRDefault="0045549B" w:rsidP="0045549B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LMTQT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, LMTQT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thù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viễn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ô </w:t>
      </w:r>
      <w:proofErr w:type="spellStart"/>
      <w:r w:rsidRPr="00787BF1">
        <w:rPr>
          <w:szCs w:val="28"/>
        </w:rPr>
        <w:t>nhiễm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chia </w:t>
      </w:r>
      <w:proofErr w:type="spellStart"/>
      <w:r w:rsidRPr="00787BF1">
        <w:rPr>
          <w:szCs w:val="28"/>
        </w:rPr>
        <w:t>sẻ</w:t>
      </w:r>
      <w:proofErr w:type="spellEnd"/>
      <w:r w:rsidRPr="00787BF1">
        <w:rPr>
          <w:szCs w:val="28"/>
        </w:rPr>
        <w:t xml:space="preserve"> chi </w:t>
      </w:r>
      <w:proofErr w:type="spellStart"/>
      <w:r w:rsidRPr="00787BF1">
        <w:rPr>
          <w:szCs w:val="28"/>
        </w:rPr>
        <w:t>phí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vững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>.</w:t>
      </w:r>
    </w:p>
    <w:p w:rsidR="0045549B" w:rsidRPr="00787BF1" w:rsidRDefault="0045549B" w:rsidP="0045549B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LMTQT </w:t>
      </w:r>
      <w:proofErr w:type="spellStart"/>
      <w:r w:rsidRPr="00787BF1">
        <w:rPr>
          <w:szCs w:val="28"/>
        </w:rPr>
        <w:t>phổ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nhìn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ngành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LMTQT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lastRenderedPageBreak/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, LMTQT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>.</w:t>
      </w:r>
    </w:p>
    <w:p w:rsidR="0045549B" w:rsidRPr="00787BF1" w:rsidRDefault="0045549B" w:rsidP="0045549B">
      <w:pPr>
        <w:spacing w:before="120"/>
        <w:ind w:firstLine="284"/>
        <w:jc w:val="right"/>
        <w:rPr>
          <w:sz w:val="22"/>
        </w:rPr>
      </w:pPr>
      <w:r w:rsidRPr="00787BF1">
        <w:rPr>
          <w:b/>
          <w:bCs/>
          <w:sz w:val="22"/>
        </w:rPr>
        <w:t>NGUYỄN TIẾN VINH</w:t>
      </w:r>
    </w:p>
    <w:p w:rsidR="0045549B" w:rsidRPr="00787BF1" w:rsidRDefault="0045549B" w:rsidP="0045549B">
      <w:pPr>
        <w:spacing w:before="120"/>
        <w:ind w:firstLine="284"/>
        <w:jc w:val="both"/>
        <w:rPr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 xml:space="preserve">: </w:t>
      </w:r>
    </w:p>
    <w:p w:rsidR="0045549B" w:rsidRPr="00787BF1" w:rsidRDefault="0045549B" w:rsidP="0045549B">
      <w:pPr>
        <w:pStyle w:val="ListParagraph"/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tế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môi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2020.</w:t>
      </w:r>
    </w:p>
    <w:p w:rsidR="0045549B" w:rsidRPr="00787BF1" w:rsidRDefault="0045549B" w:rsidP="0045549B">
      <w:pPr>
        <w:pStyle w:val="ListParagraph"/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2017.</w:t>
      </w:r>
    </w:p>
    <w:p w:rsidR="0045549B" w:rsidRPr="00787BF1" w:rsidRDefault="0045549B" w:rsidP="0045549B">
      <w:pPr>
        <w:pStyle w:val="ListParagraph"/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Timo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Koivurova</w:t>
      </w:r>
      <w:proofErr w:type="spellEnd"/>
      <w:r w:rsidRPr="00787BF1">
        <w:rPr>
          <w:sz w:val="24"/>
          <w:szCs w:val="24"/>
        </w:rPr>
        <w:t xml:space="preserve">, </w:t>
      </w:r>
      <w:r w:rsidRPr="00787BF1">
        <w:rPr>
          <w:i/>
          <w:sz w:val="24"/>
          <w:szCs w:val="24"/>
        </w:rPr>
        <w:t>Introduction to International Environmental Law</w:t>
      </w:r>
      <w:r w:rsidRPr="00787BF1">
        <w:rPr>
          <w:sz w:val="24"/>
          <w:szCs w:val="24"/>
        </w:rPr>
        <w:t xml:space="preserve">, Ed. </w:t>
      </w:r>
      <w:proofErr w:type="spellStart"/>
      <w:r w:rsidRPr="00787BF1">
        <w:rPr>
          <w:sz w:val="24"/>
          <w:szCs w:val="24"/>
        </w:rPr>
        <w:t>Routlege</w:t>
      </w:r>
      <w:proofErr w:type="spellEnd"/>
      <w:r w:rsidRPr="00787BF1">
        <w:rPr>
          <w:sz w:val="24"/>
          <w:szCs w:val="24"/>
        </w:rPr>
        <w:t>, London and New York, 2014.</w:t>
      </w:r>
    </w:p>
    <w:p w:rsidR="0045549B" w:rsidRPr="00787BF1" w:rsidRDefault="0045549B" w:rsidP="0045549B">
      <w:pPr>
        <w:pStyle w:val="ListParagraph"/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Malgosia</w:t>
      </w:r>
      <w:proofErr w:type="spellEnd"/>
      <w:r w:rsidRPr="00787BF1">
        <w:rPr>
          <w:sz w:val="24"/>
          <w:szCs w:val="24"/>
        </w:rPr>
        <w:t xml:space="preserve"> Fitzmaurice et al. (Edited by), </w:t>
      </w:r>
      <w:r w:rsidRPr="00787BF1">
        <w:rPr>
          <w:i/>
          <w:sz w:val="24"/>
          <w:szCs w:val="24"/>
        </w:rPr>
        <w:t>Research Handbook on International Environmental Law</w:t>
      </w:r>
      <w:r w:rsidRPr="00787BF1">
        <w:rPr>
          <w:sz w:val="24"/>
          <w:szCs w:val="24"/>
        </w:rPr>
        <w:t>, Ed. Edward Elgar Publishing Limited, 2010.</w:t>
      </w:r>
    </w:p>
    <w:p w:rsidR="0045549B" w:rsidRPr="00787BF1" w:rsidRDefault="0045549B" w:rsidP="0045549B">
      <w:pPr>
        <w:pStyle w:val="ListParagraph"/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r w:rsidRPr="00787BF1">
        <w:rPr>
          <w:sz w:val="24"/>
          <w:szCs w:val="24"/>
        </w:rPr>
        <w:t xml:space="preserve">Bryan A. </w:t>
      </w:r>
      <w:proofErr w:type="spellStart"/>
      <w:r w:rsidRPr="00787BF1">
        <w:rPr>
          <w:sz w:val="24"/>
          <w:szCs w:val="24"/>
        </w:rPr>
        <w:t>Garnier</w:t>
      </w:r>
      <w:proofErr w:type="spellEnd"/>
      <w:r w:rsidRPr="00787BF1">
        <w:rPr>
          <w:sz w:val="24"/>
          <w:szCs w:val="24"/>
        </w:rPr>
        <w:t xml:space="preserve"> (Editor in chief), </w:t>
      </w:r>
      <w:r w:rsidRPr="00787BF1">
        <w:rPr>
          <w:i/>
          <w:sz w:val="24"/>
          <w:szCs w:val="24"/>
        </w:rPr>
        <w:t>Black’s law Dictionary</w:t>
      </w:r>
      <w:r w:rsidRPr="00787BF1">
        <w:rPr>
          <w:sz w:val="24"/>
          <w:szCs w:val="24"/>
        </w:rPr>
        <w:t xml:space="preserve"> – Deluxe Ninth Edition, 2009.</w:t>
      </w:r>
    </w:p>
    <w:p w:rsidR="0045549B" w:rsidRPr="00787BF1" w:rsidRDefault="0045549B" w:rsidP="0045549B">
      <w:pPr>
        <w:pStyle w:val="ListParagraph"/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r w:rsidRPr="00787BF1">
        <w:rPr>
          <w:sz w:val="24"/>
          <w:szCs w:val="24"/>
        </w:rPr>
        <w:t xml:space="preserve">Jean Salmon, </w:t>
      </w:r>
      <w:proofErr w:type="spellStart"/>
      <w:r w:rsidRPr="00787BF1">
        <w:rPr>
          <w:i/>
          <w:sz w:val="24"/>
          <w:szCs w:val="24"/>
        </w:rPr>
        <w:t>Dictionaire</w:t>
      </w:r>
      <w:proofErr w:type="spellEnd"/>
      <w:r w:rsidRPr="00787BF1">
        <w:rPr>
          <w:i/>
          <w:sz w:val="24"/>
          <w:szCs w:val="24"/>
        </w:rPr>
        <w:t xml:space="preserve"> de droit </w:t>
      </w:r>
      <w:proofErr w:type="spellStart"/>
      <w:r w:rsidRPr="00787BF1">
        <w:rPr>
          <w:i/>
          <w:sz w:val="24"/>
          <w:szCs w:val="24"/>
        </w:rPr>
        <w:t>interntional</w:t>
      </w:r>
      <w:proofErr w:type="spellEnd"/>
      <w:r w:rsidRPr="00787BF1">
        <w:rPr>
          <w:i/>
          <w:sz w:val="24"/>
          <w:szCs w:val="24"/>
        </w:rPr>
        <w:t xml:space="preserve"> public</w:t>
      </w:r>
      <w:r w:rsidRPr="00787BF1">
        <w:rPr>
          <w:sz w:val="24"/>
          <w:szCs w:val="24"/>
        </w:rPr>
        <w:t xml:space="preserve">, Ed. </w:t>
      </w:r>
      <w:proofErr w:type="spellStart"/>
      <w:r w:rsidRPr="00787BF1">
        <w:rPr>
          <w:sz w:val="24"/>
          <w:szCs w:val="24"/>
        </w:rPr>
        <w:t>Bruylant</w:t>
      </w:r>
      <w:proofErr w:type="spellEnd"/>
      <w:r w:rsidRPr="00787BF1">
        <w:rPr>
          <w:sz w:val="24"/>
          <w:szCs w:val="24"/>
        </w:rPr>
        <w:t xml:space="preserve">/AUF, </w:t>
      </w:r>
      <w:proofErr w:type="spellStart"/>
      <w:r w:rsidRPr="00787BF1">
        <w:rPr>
          <w:sz w:val="24"/>
          <w:szCs w:val="24"/>
        </w:rPr>
        <w:t>Bruxelles</w:t>
      </w:r>
      <w:proofErr w:type="spellEnd"/>
      <w:r w:rsidRPr="00787BF1">
        <w:rPr>
          <w:sz w:val="24"/>
          <w:szCs w:val="24"/>
        </w:rPr>
        <w:t>, 2001.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AF1"/>
    <w:multiLevelType w:val="multilevel"/>
    <w:tmpl w:val="EA52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B"/>
    <w:rsid w:val="001324E1"/>
    <w:rsid w:val="0045549B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AD381-0427-41E7-BD62-19D97FB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9B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5549B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45549B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45549B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2025-12-15T03:59:00Z</dcterms:created>
  <dcterms:modified xsi:type="dcterms:W3CDTF">2025-12-15T03:59:00Z</dcterms:modified>
</cp:coreProperties>
</file>